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方正小标宋简体" w:cs="Times New Roman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bCs/>
          <w:kern w:val="0"/>
          <w:sz w:val="32"/>
          <w:szCs w:val="32"/>
        </w:rPr>
        <w:t>徐州市疾病预防控制中心采购小型</w:t>
      </w: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</w:rPr>
        <w:t>仪器</w:t>
      </w:r>
      <w:r>
        <w:rPr>
          <w:rFonts w:ascii="Times New Roman" w:hAnsi="Times New Roman" w:eastAsia="方正小标宋简体" w:cs="Times New Roman"/>
          <w:bCs/>
          <w:kern w:val="0"/>
          <w:sz w:val="32"/>
          <w:szCs w:val="32"/>
        </w:rPr>
        <w:t>设备</w:t>
      </w: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</w:rPr>
        <w:t>、仪器耗材</w:t>
      </w:r>
      <w:r>
        <w:rPr>
          <w:rFonts w:ascii="Times New Roman" w:hAnsi="Times New Roman" w:eastAsia="方正小标宋简体" w:cs="Times New Roman"/>
          <w:bCs/>
          <w:kern w:val="0"/>
          <w:sz w:val="32"/>
          <w:szCs w:val="32"/>
        </w:rPr>
        <w:t>询价公告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cs="Times New Roman"/>
          <w:color w:val="626262"/>
          <w:sz w:val="26"/>
          <w:szCs w:val="26"/>
          <w:shd w:val="clear" w:color="auto" w:fill="FFFFFF"/>
        </w:rPr>
        <w:t>编号：xzcdc201700</w:t>
      </w:r>
      <w:r>
        <w:rPr>
          <w:rFonts w:hint="eastAsia" w:ascii="Times New Roman" w:hAnsi="Times New Roman" w:cs="Times New Roman"/>
          <w:color w:val="626262"/>
          <w:sz w:val="26"/>
          <w:szCs w:val="26"/>
          <w:shd w:val="clear" w:color="auto" w:fill="FFFFFF"/>
        </w:rPr>
        <w:t>5</w:t>
      </w:r>
    </w:p>
    <w:p>
      <w:pPr>
        <w:widowControl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我中心询价采购以下设备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及仪器耗材</w:t>
      </w:r>
      <w:r>
        <w:rPr>
          <w:rFonts w:ascii="Times New Roman" w:hAnsi="Times New Roman" w:eastAsia="方正仿宋简体" w:cs="Times New Roman"/>
          <w:sz w:val="28"/>
          <w:szCs w:val="28"/>
        </w:rPr>
        <w:t>，欢迎符合要求的厂商报价（请分开报价）：</w:t>
      </w:r>
    </w:p>
    <w:p>
      <w:pPr>
        <w:widowControl/>
        <w:jc w:val="left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b/>
          <w:sz w:val="28"/>
          <w:szCs w:val="28"/>
        </w:rPr>
        <w:object>
          <v:shape id="_x0000_i1025" o:spt="75" type="#_x0000_t75" style="height:268.1pt;width:708.9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10">
            <o:LockedField>false</o:LockedField>
          </o:OLEObject>
        </w:objec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标段</w:t>
      </w:r>
      <w:r>
        <w:rPr>
          <w:rFonts w:ascii="宋体" w:hAnsi="宋体" w:cs="宋体"/>
          <w:b/>
          <w:bCs/>
          <w:kern w:val="0"/>
          <w:sz w:val="24"/>
          <w:szCs w:val="24"/>
        </w:rPr>
        <w:t>3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：</w:t>
      </w:r>
    </w:p>
    <w:p>
      <w:pPr>
        <w:widowControl/>
        <w:jc w:val="center"/>
        <w:rPr>
          <w:rFonts w:ascii="宋体" w:cs="宋体"/>
          <w:b/>
          <w:bCs/>
          <w:kern w:val="0"/>
          <w:sz w:val="24"/>
          <w:szCs w:val="24"/>
        </w:rPr>
      </w:pPr>
    </w:p>
    <w:p>
      <w:pPr>
        <w:widowControl/>
        <w:jc w:val="center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徐州市疾病预防控制中心采购项目询价报价表</w:t>
      </w:r>
    </w:p>
    <w:tbl>
      <w:tblPr>
        <w:tblStyle w:val="7"/>
        <w:tblW w:w="13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926"/>
        <w:gridCol w:w="6162"/>
        <w:gridCol w:w="212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>
            <w:r>
              <w:rPr>
                <w:rFonts w:hint="eastAsia"/>
              </w:rPr>
              <w:t>项目名称</w:t>
            </w:r>
          </w:p>
        </w:tc>
        <w:tc>
          <w:tcPr>
            <w:tcW w:w="926" w:type="dxa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6162" w:type="dxa"/>
          </w:tcPr>
          <w:p>
            <w:r>
              <w:rPr>
                <w:rFonts w:hint="eastAsia"/>
              </w:rPr>
              <w:t>技术参数</w:t>
            </w:r>
          </w:p>
        </w:tc>
        <w:tc>
          <w:tcPr>
            <w:tcW w:w="2126" w:type="dxa"/>
          </w:tcPr>
          <w:p>
            <w:r>
              <w:rPr>
                <w:rFonts w:hint="eastAsia"/>
              </w:rPr>
              <w:t>单价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总价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Align w:val="center"/>
          </w:tcPr>
          <w:p>
            <w:r>
              <w:rPr>
                <w:rFonts w:hint="eastAsia"/>
              </w:rPr>
              <w:t>普析</w:t>
            </w:r>
            <w:r>
              <w:t>T6</w:t>
            </w:r>
            <w:r>
              <w:rPr>
                <w:rFonts w:hint="eastAsia"/>
              </w:rPr>
              <w:t>新悦</w:t>
            </w:r>
            <w:r>
              <w:t xml:space="preserve"> </w:t>
            </w:r>
            <w:r>
              <w:rPr>
                <w:rFonts w:hint="eastAsia"/>
              </w:rPr>
              <w:t>分光光度计</w:t>
            </w:r>
          </w:p>
        </w:tc>
        <w:tc>
          <w:tcPr>
            <w:tcW w:w="926" w:type="dxa"/>
            <w:vAlign w:val="center"/>
          </w:tcPr>
          <w:p>
            <w:r>
              <w:t>1</w:t>
            </w:r>
          </w:p>
        </w:tc>
        <w:tc>
          <w:tcPr>
            <w:tcW w:w="6162" w:type="dxa"/>
            <w:vAlign w:val="center"/>
          </w:tcPr>
          <w:p>
            <w:r>
              <w:rPr>
                <w:rFonts w:hint="eastAsia"/>
              </w:rPr>
              <w:t>光学系统</w:t>
            </w:r>
            <w:r>
              <w:tab/>
            </w:r>
            <w:r>
              <w:rPr>
                <w:rFonts w:hint="eastAsia"/>
              </w:rPr>
              <w:t>双光束比例监测</w:t>
            </w:r>
          </w:p>
          <w:p>
            <w:r>
              <w:rPr>
                <w:rFonts w:hint="eastAsia"/>
              </w:rPr>
              <w:t>波长范围</w:t>
            </w:r>
            <w:r>
              <w:tab/>
            </w:r>
            <w:r>
              <w:t>325—1100nm</w:t>
            </w:r>
          </w:p>
          <w:p>
            <w:r>
              <w:rPr>
                <w:rFonts w:hint="eastAsia"/>
              </w:rPr>
              <w:t>波长准确度</w:t>
            </w:r>
            <w:r>
              <w:tab/>
            </w:r>
            <w:r>
              <w:rPr>
                <w:rFonts w:hint="eastAsia"/>
              </w:rPr>
              <w:t>±</w:t>
            </w:r>
            <w:r>
              <w:t>1nm</w:t>
            </w:r>
          </w:p>
          <w:p>
            <w:r>
              <w:rPr>
                <w:rFonts w:hint="eastAsia"/>
              </w:rPr>
              <w:t>波长重复性</w:t>
            </w:r>
            <w:r>
              <w:tab/>
            </w:r>
            <w:r>
              <w:rPr>
                <w:rFonts w:hint="eastAsia"/>
              </w:rPr>
              <w:t>≤</w:t>
            </w:r>
            <w:r>
              <w:t>0.2nm</w:t>
            </w:r>
          </w:p>
          <w:p>
            <w:r>
              <w:rPr>
                <w:rFonts w:hint="eastAsia"/>
              </w:rPr>
              <w:t>光谱带宽</w:t>
            </w:r>
            <w:r>
              <w:tab/>
            </w:r>
            <w:r>
              <w:t>2nm</w:t>
            </w:r>
          </w:p>
          <w:p>
            <w:r>
              <w:rPr>
                <w:rFonts w:hint="eastAsia"/>
              </w:rPr>
              <w:t>杂散光</w:t>
            </w:r>
            <w:r>
              <w:tab/>
            </w:r>
            <w:r>
              <w:rPr>
                <w:rFonts w:hint="eastAsia"/>
              </w:rPr>
              <w:t>≤</w:t>
            </w:r>
            <w:r>
              <w:t xml:space="preserve">0.05%T </w:t>
            </w:r>
          </w:p>
          <w:p>
            <w:r>
              <w:rPr>
                <w:rFonts w:hint="eastAsia"/>
              </w:rPr>
              <w:t>光度范围</w:t>
            </w:r>
            <w:r>
              <w:tab/>
            </w:r>
            <w:r>
              <w:t>-0.3—3A</w:t>
            </w:r>
          </w:p>
          <w:p>
            <w:r>
              <w:rPr>
                <w:rFonts w:hint="eastAsia"/>
              </w:rPr>
              <w:t>光度准确度</w:t>
            </w:r>
            <w:r>
              <w:tab/>
            </w:r>
            <w:r>
              <w:rPr>
                <w:rFonts w:hint="eastAsia"/>
              </w:rPr>
              <w:t>±</w:t>
            </w:r>
            <w:r>
              <w:t>0.002Abs(0-0.5A)</w:t>
            </w:r>
          </w:p>
          <w:p>
            <w:pPr>
              <w:ind w:firstLine="1050" w:firstLineChars="500"/>
            </w:pPr>
            <w:r>
              <w:tab/>
            </w:r>
            <w:r>
              <w:t>±0.004Abs(0.5-1A)</w:t>
            </w:r>
          </w:p>
          <w:p>
            <w:pPr>
              <w:ind w:firstLine="945" w:firstLineChars="450"/>
            </w:pPr>
            <w:r>
              <w:tab/>
            </w:r>
            <w:r>
              <w:t>±0.3%T(0-100%T)</w:t>
            </w:r>
          </w:p>
          <w:p>
            <w:r>
              <w:rPr>
                <w:rFonts w:hint="eastAsia"/>
              </w:rPr>
              <w:t>光度重复性</w:t>
            </w:r>
            <w:r>
              <w:tab/>
            </w:r>
            <w:r>
              <w:rPr>
                <w:rFonts w:hint="eastAsia"/>
              </w:rPr>
              <w:t>≤</w:t>
            </w:r>
            <w:r>
              <w:t>0.001Abs</w:t>
            </w:r>
            <w:r>
              <w:rPr>
                <w:rFonts w:hint="eastAsia"/>
              </w:rPr>
              <w:t>（</w:t>
            </w:r>
            <w:r>
              <w:t>0-0.5A</w:t>
            </w:r>
            <w:r>
              <w:rPr>
                <w:rFonts w:hint="eastAsia"/>
              </w:rPr>
              <w:t>）</w:t>
            </w:r>
          </w:p>
          <w:p>
            <w:pPr>
              <w:ind w:firstLine="1050" w:firstLineChars="500"/>
            </w:pPr>
            <w:r>
              <w:tab/>
            </w:r>
            <w:r>
              <w:rPr>
                <w:rFonts w:hint="eastAsia"/>
              </w:rPr>
              <w:t>≤</w:t>
            </w:r>
            <w:r>
              <w:t>0.002Abs</w:t>
            </w:r>
            <w:r>
              <w:rPr>
                <w:rFonts w:hint="eastAsia"/>
              </w:rPr>
              <w:t>（</w:t>
            </w:r>
            <w:r>
              <w:t>0.5-1A</w:t>
            </w:r>
            <w:r>
              <w:rPr>
                <w:rFonts w:hint="eastAsia"/>
              </w:rPr>
              <w:t>）</w:t>
            </w:r>
          </w:p>
          <w:p>
            <w:pPr>
              <w:ind w:firstLine="1050" w:firstLineChars="500"/>
            </w:pPr>
            <w:r>
              <w:tab/>
            </w:r>
            <w:r>
              <w:rPr>
                <w:rFonts w:hint="eastAsia"/>
              </w:rPr>
              <w:t>≤</w:t>
            </w:r>
            <w:r>
              <w:t>0.15%T(0-100%T)</w:t>
            </w:r>
          </w:p>
          <w:p>
            <w:r>
              <w:rPr>
                <w:rFonts w:hint="eastAsia"/>
              </w:rPr>
              <w:t>基线平直度</w:t>
            </w:r>
            <w:r>
              <w:tab/>
            </w:r>
            <w:r>
              <w:rPr>
                <w:rFonts w:hint="eastAsia"/>
              </w:rPr>
              <w:t>±</w:t>
            </w:r>
            <w:r>
              <w:t>0.002A</w:t>
            </w:r>
          </w:p>
          <w:p>
            <w:pPr>
              <w:ind w:firstLine="840" w:firstLineChars="400"/>
            </w:pPr>
            <w:r>
              <w:tab/>
            </w:r>
            <w:r>
              <w:t>(200—1000nm)</w:t>
            </w:r>
          </w:p>
          <w:p>
            <w:r>
              <w:rPr>
                <w:rFonts w:hint="eastAsia"/>
              </w:rPr>
              <w:t>噪声</w:t>
            </w:r>
            <w:r>
              <w:tab/>
            </w:r>
            <w:r>
              <w:rPr>
                <w:rFonts w:hint="eastAsia"/>
              </w:rPr>
              <w:t>±</w:t>
            </w:r>
            <w:r>
              <w:t>0.001A</w:t>
            </w:r>
            <w:r>
              <w:rPr>
                <w:rFonts w:hint="eastAsia"/>
              </w:rPr>
              <w:t>（</w:t>
            </w:r>
            <w:r>
              <w:t>500nm</w:t>
            </w:r>
            <w:r>
              <w:rPr>
                <w:rFonts w:hint="eastAsia"/>
              </w:rPr>
              <w:t>，</w:t>
            </w:r>
            <w:r>
              <w:t>P-P</w:t>
            </w:r>
            <w:r>
              <w:rPr>
                <w:rFonts w:hint="eastAsia"/>
              </w:rPr>
              <w:t>）</w:t>
            </w:r>
            <w:r>
              <w:t>,</w:t>
            </w:r>
            <w:r>
              <w:rPr>
                <w:rFonts w:hint="eastAsia"/>
              </w:rPr>
              <w:t>开机预热半小时后</w:t>
            </w:r>
          </w:p>
          <w:p>
            <w:r>
              <w:rPr>
                <w:rFonts w:hint="eastAsia"/>
              </w:rPr>
              <w:t>基线漂移</w:t>
            </w:r>
            <w:r>
              <w:tab/>
            </w:r>
            <w:r>
              <w:rPr>
                <w:rFonts w:hint="eastAsia"/>
              </w:rPr>
              <w:t>≤</w:t>
            </w:r>
            <w:r>
              <w:t>0.001A/h (500nm,0A)</w:t>
            </w:r>
          </w:p>
          <w:p>
            <w:r>
              <w:rPr>
                <w:rFonts w:hint="eastAsia"/>
              </w:rPr>
              <w:t>具有钨灯、氘灯点灯时间记录功能</w:t>
            </w:r>
          </w:p>
          <w:p>
            <w:r>
              <w:rPr>
                <w:rFonts w:hint="eastAsia"/>
              </w:rPr>
              <w:t>支持</w:t>
            </w:r>
            <w:r>
              <w:t>8</w:t>
            </w:r>
            <w:r>
              <w:rPr>
                <w:rFonts w:hint="eastAsia"/>
              </w:rPr>
              <w:t>联池的操作</w:t>
            </w:r>
          </w:p>
          <w:p>
            <w:r>
              <w:rPr>
                <w:rFonts w:hint="eastAsia"/>
              </w:rPr>
              <w:t>支持微型打印机、</w:t>
            </w:r>
            <w:r>
              <w:t>HP</w:t>
            </w:r>
            <w:r>
              <w:rPr>
                <w:rFonts w:hint="eastAsia"/>
              </w:rPr>
              <w:t>系列喷墨，</w:t>
            </w:r>
            <w:r>
              <w:t xml:space="preserve"> </w:t>
            </w:r>
            <w:r>
              <w:rPr>
                <w:rFonts w:hint="eastAsia"/>
              </w:rPr>
              <w:t>激光打印机、可与</w:t>
            </w:r>
            <w:r>
              <w:t>PC</w:t>
            </w:r>
            <w:r>
              <w:rPr>
                <w:rFonts w:hint="eastAsia"/>
              </w:rPr>
              <w:t>联机</w:t>
            </w:r>
          </w:p>
          <w:p>
            <w:r>
              <w:rPr>
                <w:rFonts w:hint="eastAsia"/>
              </w:rPr>
              <w:t>比色皿</w:t>
            </w:r>
            <w:r>
              <w:tab/>
            </w:r>
            <w:r>
              <w:t>1cm</w:t>
            </w:r>
            <w:r>
              <w:rPr>
                <w:rFonts w:hint="eastAsia"/>
              </w:rPr>
              <w:t>、</w:t>
            </w:r>
            <w:r>
              <w:t>2cm</w:t>
            </w:r>
            <w:r>
              <w:rPr>
                <w:rFonts w:hint="eastAsia"/>
              </w:rPr>
              <w:t>、</w:t>
            </w:r>
            <w:r>
              <w:t>3cm</w:t>
            </w:r>
            <w:r>
              <w:rPr>
                <w:rFonts w:hint="eastAsia"/>
              </w:rPr>
              <w:t>比色皿各</w:t>
            </w:r>
            <w:r>
              <w:t>10</w:t>
            </w:r>
            <w:r>
              <w:rPr>
                <w:rFonts w:hint="eastAsia"/>
              </w:rPr>
              <w:t>个</w:t>
            </w:r>
          </w:p>
        </w:tc>
        <w:tc>
          <w:tcPr>
            <w:tcW w:w="2126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</w:tr>
    </w:tbl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b/>
          <w:sz w:val="28"/>
          <w:szCs w:val="28"/>
        </w:rPr>
        <w:t>1、2017年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</w:rPr>
        <w:t>10</w:t>
      </w:r>
      <w:r>
        <w:rPr>
          <w:rFonts w:ascii="Times New Roman" w:hAnsi="Times New Roman" w:eastAsia="方正仿宋简体" w:cs="Times New Roman"/>
          <w:b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</w:rPr>
        <w:t>25</w:t>
      </w:r>
      <w:r>
        <w:rPr>
          <w:rFonts w:ascii="Times New Roman" w:hAnsi="Times New Roman" w:eastAsia="方正仿宋简体" w:cs="Times New Roman"/>
          <w:b/>
          <w:sz w:val="28"/>
          <w:szCs w:val="28"/>
        </w:rPr>
        <w:t>日下午3点前</w:t>
      </w:r>
      <w:r>
        <w:rPr>
          <w:rFonts w:ascii="Times New Roman" w:hAnsi="Times New Roman" w:eastAsia="方正仿宋简体" w:cs="Times New Roman"/>
          <w:sz w:val="28"/>
          <w:szCs w:val="28"/>
        </w:rPr>
        <w:t>将报价单（请注明公司名称、公司地址、联系人、联系电话）密封后（如有图片可附带）送（寄）达徐州市疾控中心应急办，过时以无效处理。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b/>
          <w:sz w:val="28"/>
          <w:szCs w:val="28"/>
        </w:rPr>
        <w:t>2、报价要求</w:t>
      </w:r>
      <w:r>
        <w:rPr>
          <w:rFonts w:ascii="Times New Roman" w:hAnsi="Times New Roman" w:eastAsia="方正仿宋简体" w:cs="Times New Roman"/>
          <w:sz w:val="28"/>
          <w:szCs w:val="28"/>
        </w:rPr>
        <w:t>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（1）请一次性报价；厂商应提供配置产品说明及经营资质文件、到货期限、售后服务等信息，并免费送货安装。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（2）所有报价均以人民币“元”为计算单位。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（3）报价包含交付使用前的所有费用，应为货物递送到实际交货地（最终使用方指定地点）的价格，包括运保费、税费、装卸费、材料费、安装调试费、施工费及质保期内的一切费用。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b/>
          <w:sz w:val="28"/>
          <w:szCs w:val="28"/>
        </w:rPr>
        <w:t>3、结算方式：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货物供货安装到位并经单位验收合格后一次性付清。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b/>
          <w:sz w:val="28"/>
          <w:szCs w:val="28"/>
        </w:rPr>
      </w:pPr>
      <w:r>
        <w:rPr>
          <w:rFonts w:ascii="Times New Roman" w:hAnsi="Times New Roman" w:eastAsia="方正仿宋简体" w:cs="Times New Roman"/>
          <w:b/>
          <w:sz w:val="28"/>
          <w:szCs w:val="28"/>
        </w:rPr>
        <w:t>4、其他：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（1）报价表务请各供应商用信封密封并在密封口处加盖供应商单位公章，报价单一式两份。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（2）供应商提供的货物必须是全新的、未使用过原装合格且是正规合法渠道的产品。</w:t>
      </w:r>
      <w:r>
        <w:rPr>
          <w:rFonts w:ascii="Times New Roman" w:hAnsi="Times New Roman" w:eastAsia="方正仿宋简体" w:cs="Times New Roman"/>
          <w:sz w:val="28"/>
          <w:szCs w:val="28"/>
        </w:rPr>
        <w:br w:type="textWrapping"/>
      </w:r>
      <w:r>
        <w:rPr>
          <w:rFonts w:ascii="Times New Roman" w:hAnsi="Times New Roman" w:eastAsia="方正仿宋简体" w:cs="Times New Roman"/>
          <w:sz w:val="28"/>
          <w:szCs w:val="28"/>
        </w:rPr>
        <w:t xml:space="preserve">    （3）本次项目成交结果将在徐州市疾控中心网站(www.xzcdc.com)进行公示，公示期为1日。</w:t>
      </w:r>
      <w:r>
        <w:rPr>
          <w:rFonts w:ascii="Times New Roman" w:hAnsi="Times New Roman" w:eastAsia="方正仿宋简体" w:cs="Times New Roman"/>
          <w:sz w:val="28"/>
          <w:szCs w:val="28"/>
        </w:rPr>
        <w:br w:type="textWrapping"/>
      </w:r>
      <w:r>
        <w:rPr>
          <w:rFonts w:ascii="Times New Roman" w:hAnsi="Times New Roman" w:eastAsia="方正仿宋简体" w:cs="Times New Roman"/>
          <w:sz w:val="28"/>
          <w:szCs w:val="28"/>
        </w:rPr>
        <w:t xml:space="preserve">    （4）特殊情况另行约定。</w:t>
      </w:r>
    </w:p>
    <w:p>
      <w:pPr>
        <w:adjustRightInd w:val="0"/>
        <w:snapToGrid w:val="0"/>
        <w:spacing w:line="300" w:lineRule="auto"/>
        <w:ind w:firstLine="420" w:firstLineChars="150"/>
        <w:rPr>
          <w:rFonts w:ascii="Times New Roman" w:hAnsi="Times New Roman" w:eastAsia="方正仿宋简体" w:cs="Times New Roman"/>
          <w:b/>
          <w:sz w:val="28"/>
          <w:szCs w:val="28"/>
        </w:rPr>
      </w:pPr>
      <w:r>
        <w:rPr>
          <w:rFonts w:ascii="Times New Roman" w:hAnsi="Times New Roman" w:eastAsia="方正仿宋简体" w:cs="Times New Roman"/>
          <w:b/>
          <w:sz w:val="28"/>
          <w:szCs w:val="28"/>
        </w:rPr>
        <w:t>5、联系方式：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（1）递交文件地点：徐州市疾病预防控制中心应急办210室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（2）单位地址：徐州市二环西路142号，邮编：221006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（3）联系人：郭亚美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（4）联系电话：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0516-</w:t>
      </w:r>
      <w:r>
        <w:rPr>
          <w:rFonts w:ascii="Times New Roman" w:hAnsi="Times New Roman" w:eastAsia="方正仿宋简体" w:cs="Times New Roman"/>
          <w:sz w:val="28"/>
          <w:szCs w:val="28"/>
        </w:rPr>
        <w:t>85956776</w:t>
      </w:r>
    </w:p>
    <w:p>
      <w:pPr>
        <w:adjustRightInd w:val="0"/>
        <w:snapToGrid w:val="0"/>
        <w:spacing w:line="300" w:lineRule="auto"/>
        <w:ind w:firstLine="420" w:firstLineChars="15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 xml:space="preserve">       </w:t>
      </w:r>
    </w:p>
    <w:p>
      <w:pPr>
        <w:adjustRightInd w:val="0"/>
        <w:snapToGrid w:val="0"/>
        <w:spacing w:line="300" w:lineRule="auto"/>
        <w:ind w:firstLine="420" w:firstLineChars="150"/>
        <w:rPr>
          <w:rFonts w:ascii="Times New Roman" w:hAnsi="Times New Roman" w:eastAsia="方正仿宋简体" w:cs="Times New Roman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420" w:firstLineChars="150"/>
        <w:rPr>
          <w:rFonts w:ascii="Times New Roman" w:hAnsi="Times New Roman" w:eastAsia="方正仿宋简体" w:cs="Times New Roman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楷体_GBK" w:cs="Times New Roman"/>
          <w:color w:val="626262"/>
          <w:sz w:val="28"/>
          <w:szCs w:val="28"/>
          <w:shd w:val="clear" w:color="auto" w:fill="FFFFFF"/>
        </w:rPr>
        <w:t xml:space="preserve">                            </w:t>
      </w:r>
      <w:r>
        <w:rPr>
          <w:rFonts w:ascii="Times New Roman" w:hAnsi="Times New Roman" w:eastAsia="方正仿宋简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 xml:space="preserve">      </w:t>
      </w:r>
      <w:r>
        <w:rPr>
          <w:rFonts w:ascii="Times New Roman" w:hAnsi="Times New Roman" w:eastAsia="方正仿宋简体" w:cs="Times New Roman"/>
          <w:sz w:val="28"/>
          <w:szCs w:val="28"/>
        </w:rPr>
        <w:t>2017年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10</w:t>
      </w:r>
      <w:r>
        <w:rPr>
          <w:rFonts w:ascii="Times New Roman" w:hAnsi="Times New Roman" w:eastAsia="方正仿宋简体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18</w:t>
      </w:r>
      <w:r>
        <w:rPr>
          <w:rFonts w:ascii="Times New Roman" w:hAnsi="Times New Roman" w:eastAsia="方正仿宋简体" w:cs="Times New Roman"/>
          <w:sz w:val="28"/>
          <w:szCs w:val="28"/>
        </w:rPr>
        <w:t>日</w:t>
      </w:r>
    </w:p>
    <w:p>
      <w:pPr>
        <w:adjustRightInd w:val="0"/>
        <w:snapToGrid w:val="0"/>
        <w:spacing w:line="300" w:lineRule="auto"/>
        <w:ind w:firstLine="420" w:firstLineChars="150"/>
        <w:rPr>
          <w:rFonts w:ascii="Times New Roman" w:hAnsi="Times New Roman" w:eastAsia="方正仿宋简体" w:cs="Times New Roman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2E"/>
    <w:rsid w:val="00004DD1"/>
    <w:rsid w:val="00185C72"/>
    <w:rsid w:val="00296D30"/>
    <w:rsid w:val="002F5F2E"/>
    <w:rsid w:val="00392242"/>
    <w:rsid w:val="003E3222"/>
    <w:rsid w:val="004227F3"/>
    <w:rsid w:val="00527D28"/>
    <w:rsid w:val="006134AC"/>
    <w:rsid w:val="00680FE7"/>
    <w:rsid w:val="006C717E"/>
    <w:rsid w:val="00757617"/>
    <w:rsid w:val="00786FC6"/>
    <w:rsid w:val="00885F8E"/>
    <w:rsid w:val="008B1148"/>
    <w:rsid w:val="008D2A3B"/>
    <w:rsid w:val="008F52E5"/>
    <w:rsid w:val="009A0753"/>
    <w:rsid w:val="009A4618"/>
    <w:rsid w:val="009D1217"/>
    <w:rsid w:val="00A61E9F"/>
    <w:rsid w:val="00A720FE"/>
    <w:rsid w:val="00A93F2A"/>
    <w:rsid w:val="00B455E1"/>
    <w:rsid w:val="00C0126F"/>
    <w:rsid w:val="00C04D61"/>
    <w:rsid w:val="00CB1DA6"/>
    <w:rsid w:val="00D818D6"/>
    <w:rsid w:val="00DA0FB6"/>
    <w:rsid w:val="00DB095C"/>
    <w:rsid w:val="00E230E8"/>
    <w:rsid w:val="00E4389A"/>
    <w:rsid w:val="00EC3571"/>
    <w:rsid w:val="00F54386"/>
    <w:rsid w:val="00FB70F0"/>
    <w:rsid w:val="1BD81174"/>
    <w:rsid w:val="21597FF3"/>
    <w:rsid w:val="4FD41DD3"/>
    <w:rsid w:val="57123DBA"/>
    <w:rsid w:val="5B7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kern w:val="2"/>
      <w:sz w:val="18"/>
      <w:szCs w:val="18"/>
    </w:rPr>
  </w:style>
  <w:style w:type="character" w:customStyle="1" w:styleId="11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171</Words>
  <Characters>975</Characters>
  <Lines>8</Lines>
  <Paragraphs>2</Paragraphs>
  <TotalTime>0</TotalTime>
  <ScaleCrop>false</ScaleCrop>
  <LinksUpToDate>false</LinksUpToDate>
  <CharactersWithSpaces>1144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2017-08-28T09:24:00Z</dcterms:created>
  <dc:creator>lx</dc:creator>
  <cp:lastModifiedBy>Administrator</cp:lastModifiedBy>
  <cp:lastPrinted>2017-08-28T09:29:00Z</cp:lastPrinted>
  <dcterms:modified xsi:type="dcterms:W3CDTF">2017-10-18T03:52:11Z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