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20EBF3">
      <w:pPr>
        <w:spacing w:line="266" w:lineRule="auto"/>
        <w:rPr>
          <w:rFonts w:ascii="Arial"/>
          <w:sz w:val="21"/>
        </w:rPr>
      </w:pPr>
      <w:bookmarkStart w:id="0" w:name="_GoBack"/>
      <w:bookmarkEnd w:id="0"/>
    </w:p>
    <w:p w14:paraId="2E71B63C">
      <w:pPr>
        <w:spacing w:line="267" w:lineRule="auto"/>
        <w:rPr>
          <w:rFonts w:ascii="Arial"/>
          <w:sz w:val="21"/>
        </w:rPr>
      </w:pPr>
    </w:p>
    <w:p w14:paraId="627A65DC">
      <w:pPr>
        <w:spacing w:line="267" w:lineRule="auto"/>
        <w:rPr>
          <w:rFonts w:ascii="Arial"/>
          <w:sz w:val="21"/>
        </w:rPr>
      </w:pPr>
    </w:p>
    <w:p w14:paraId="25E0A477">
      <w:pPr>
        <w:spacing w:before="113" w:line="224" w:lineRule="auto"/>
        <w:ind w:left="3087"/>
        <w:outlineLvl w:val="0"/>
        <w:rPr>
          <w:rFonts w:ascii="宋体" w:hAnsi="宋体" w:eastAsia="宋体" w:cs="宋体"/>
          <w:sz w:val="35"/>
          <w:szCs w:val="35"/>
        </w:rPr>
      </w:pPr>
      <w:r>
        <w:rPr>
          <w:rFonts w:ascii="宋体" w:hAnsi="宋体" w:eastAsia="宋体" w:cs="宋体"/>
          <w:b/>
          <w:bCs/>
          <w:spacing w:val="5"/>
          <w:sz w:val="35"/>
          <w:szCs w:val="35"/>
        </w:rPr>
        <w:t>2026</w:t>
      </w:r>
      <w:r>
        <w:rPr>
          <w:rFonts w:ascii="宋体" w:hAnsi="宋体" w:eastAsia="宋体" w:cs="宋体"/>
          <w:spacing w:val="-61"/>
          <w:sz w:val="35"/>
          <w:szCs w:val="35"/>
        </w:rPr>
        <w:t xml:space="preserve"> </w:t>
      </w:r>
      <w:r>
        <w:rPr>
          <w:rFonts w:ascii="宋体" w:hAnsi="宋体" w:eastAsia="宋体" w:cs="宋体"/>
          <w:b/>
          <w:bCs/>
          <w:spacing w:val="5"/>
          <w:sz w:val="35"/>
          <w:szCs w:val="35"/>
        </w:rPr>
        <w:t>年度徐州市预防医学科研项目拟立项项目名单</w:t>
      </w:r>
    </w:p>
    <w:p w14:paraId="73B17014">
      <w:pPr>
        <w:spacing w:before="12"/>
      </w:pPr>
    </w:p>
    <w:p w14:paraId="1E8B4483">
      <w:pPr>
        <w:spacing w:before="12"/>
      </w:pPr>
    </w:p>
    <w:p w14:paraId="65D86930">
      <w:pPr>
        <w:spacing w:before="11"/>
      </w:pPr>
    </w:p>
    <w:p w14:paraId="5BB1D852">
      <w:pPr>
        <w:spacing w:before="11"/>
      </w:pPr>
    </w:p>
    <w:tbl>
      <w:tblPr>
        <w:tblStyle w:val="4"/>
        <w:tblW w:w="1417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4"/>
        <w:gridCol w:w="7917"/>
        <w:gridCol w:w="1319"/>
        <w:gridCol w:w="1320"/>
        <w:gridCol w:w="2738"/>
      </w:tblGrid>
      <w:tr w14:paraId="293B7D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884" w:type="dxa"/>
            <w:vAlign w:val="top"/>
          </w:tcPr>
          <w:p w14:paraId="0019A34D">
            <w:pPr>
              <w:pStyle w:val="5"/>
              <w:spacing w:before="40" w:line="212" w:lineRule="auto"/>
              <w:ind w:left="224"/>
            </w:pPr>
            <w:r>
              <w:rPr>
                <w:b/>
                <w:bCs/>
                <w:spacing w:val="-2"/>
              </w:rPr>
              <w:t>序号</w:t>
            </w:r>
          </w:p>
        </w:tc>
        <w:tc>
          <w:tcPr>
            <w:tcW w:w="7917" w:type="dxa"/>
            <w:vAlign w:val="top"/>
          </w:tcPr>
          <w:p w14:paraId="5F2381C9">
            <w:pPr>
              <w:pStyle w:val="5"/>
              <w:spacing w:before="44" w:line="209" w:lineRule="auto"/>
              <w:ind w:left="3520"/>
            </w:pPr>
            <w:r>
              <w:rPr>
                <w:b/>
                <w:bCs/>
                <w:spacing w:val="-2"/>
              </w:rPr>
              <w:t>项目名称</w:t>
            </w:r>
          </w:p>
        </w:tc>
        <w:tc>
          <w:tcPr>
            <w:tcW w:w="1319" w:type="dxa"/>
            <w:vAlign w:val="top"/>
          </w:tcPr>
          <w:p w14:paraId="3F2C4882">
            <w:pPr>
              <w:pStyle w:val="5"/>
              <w:spacing w:before="44" w:line="209" w:lineRule="auto"/>
              <w:ind w:left="223"/>
            </w:pPr>
            <w:r>
              <w:rPr>
                <w:b/>
                <w:bCs/>
                <w:spacing w:val="-2"/>
              </w:rPr>
              <w:t>项目类型</w:t>
            </w:r>
          </w:p>
        </w:tc>
        <w:tc>
          <w:tcPr>
            <w:tcW w:w="1320" w:type="dxa"/>
            <w:vAlign w:val="top"/>
          </w:tcPr>
          <w:p w14:paraId="3922E9F3">
            <w:pPr>
              <w:pStyle w:val="5"/>
              <w:spacing w:before="43" w:line="210" w:lineRule="auto"/>
              <w:ind w:left="222"/>
            </w:pPr>
            <w:r>
              <w:rPr>
                <w:b/>
                <w:bCs/>
                <w:spacing w:val="-1"/>
              </w:rPr>
              <w:t>指南编号</w:t>
            </w:r>
          </w:p>
        </w:tc>
        <w:tc>
          <w:tcPr>
            <w:tcW w:w="2738" w:type="dxa"/>
            <w:vAlign w:val="top"/>
          </w:tcPr>
          <w:p w14:paraId="3005D78B">
            <w:pPr>
              <w:pStyle w:val="5"/>
              <w:spacing w:before="40" w:line="212" w:lineRule="auto"/>
              <w:ind w:left="955"/>
            </w:pPr>
            <w:r>
              <w:rPr>
                <w:b/>
                <w:bCs/>
                <w:spacing w:val="-7"/>
              </w:rPr>
              <w:t>申报单位</w:t>
            </w:r>
          </w:p>
        </w:tc>
      </w:tr>
      <w:tr w14:paraId="079A85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884" w:type="dxa"/>
            <w:vAlign w:val="top"/>
          </w:tcPr>
          <w:p w14:paraId="5E89DCB8">
            <w:pPr>
              <w:pStyle w:val="5"/>
              <w:spacing w:before="150" w:line="343" w:lineRule="exact"/>
              <w:ind w:left="398"/>
            </w:pPr>
            <w:r>
              <w:rPr>
                <w:position w:val="4"/>
              </w:rPr>
              <w:t>1</w:t>
            </w:r>
          </w:p>
        </w:tc>
        <w:tc>
          <w:tcPr>
            <w:tcW w:w="7917" w:type="dxa"/>
            <w:vAlign w:val="top"/>
          </w:tcPr>
          <w:p w14:paraId="59FBCE78">
            <w:pPr>
              <w:pStyle w:val="5"/>
              <w:spacing w:before="1" w:line="253" w:lineRule="auto"/>
              <w:ind w:left="115" w:right="103"/>
            </w:pPr>
            <w:r>
              <w:rPr>
                <w:spacing w:val="-1"/>
              </w:rPr>
              <w:t>长期血糖变异性与多代谢指标交互作用对 2 型糖尿病患者生存结局影响的队列研</w:t>
            </w:r>
            <w:r>
              <w:t>究</w:t>
            </w:r>
          </w:p>
        </w:tc>
        <w:tc>
          <w:tcPr>
            <w:tcW w:w="1319" w:type="dxa"/>
            <w:vAlign w:val="top"/>
          </w:tcPr>
          <w:p w14:paraId="14B4ACCF">
            <w:pPr>
              <w:pStyle w:val="5"/>
              <w:spacing w:before="150" w:line="317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5FAE115E">
            <w:pPr>
              <w:pStyle w:val="5"/>
              <w:spacing w:before="150" w:line="341" w:lineRule="exact"/>
              <w:ind w:left="437"/>
            </w:pPr>
            <w:r>
              <w:rPr>
                <w:spacing w:val="-3"/>
                <w:position w:val="4"/>
              </w:rPr>
              <w:t>3001</w:t>
            </w:r>
          </w:p>
        </w:tc>
        <w:tc>
          <w:tcPr>
            <w:tcW w:w="2738" w:type="dxa"/>
            <w:vAlign w:val="top"/>
          </w:tcPr>
          <w:p w14:paraId="2F7C400E">
            <w:pPr>
              <w:pStyle w:val="5"/>
              <w:spacing w:before="150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1524BF2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884" w:type="dxa"/>
            <w:vAlign w:val="top"/>
          </w:tcPr>
          <w:p w14:paraId="262EFC60">
            <w:pPr>
              <w:pStyle w:val="5"/>
              <w:spacing w:before="4" w:line="343" w:lineRule="exact"/>
              <w:ind w:left="393"/>
            </w:pPr>
            <w:r>
              <w:rPr>
                <w:position w:val="3"/>
              </w:rPr>
              <w:t>2</w:t>
            </w:r>
          </w:p>
        </w:tc>
        <w:tc>
          <w:tcPr>
            <w:tcW w:w="7917" w:type="dxa"/>
            <w:vAlign w:val="top"/>
          </w:tcPr>
          <w:p w14:paraId="38824420">
            <w:pPr>
              <w:pStyle w:val="5"/>
              <w:spacing w:before="4" w:line="315" w:lineRule="exact"/>
              <w:ind w:left="112"/>
            </w:pPr>
            <w:r>
              <w:rPr>
                <w:position w:val="3"/>
              </w:rPr>
              <w:t>水痘疫苗免疫策略实施前后发病年龄变迁及</w:t>
            </w:r>
            <w:r>
              <w:rPr>
                <w:spacing w:val="-1"/>
                <w:position w:val="3"/>
              </w:rPr>
              <w:t>优化免疫策略研究</w:t>
            </w:r>
          </w:p>
        </w:tc>
        <w:tc>
          <w:tcPr>
            <w:tcW w:w="1319" w:type="dxa"/>
            <w:vAlign w:val="top"/>
          </w:tcPr>
          <w:p w14:paraId="150D7AB8">
            <w:pPr>
              <w:pStyle w:val="5"/>
              <w:spacing w:before="4" w:line="318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67A59543">
            <w:pPr>
              <w:pStyle w:val="5"/>
              <w:spacing w:before="4" w:line="341" w:lineRule="exact"/>
              <w:ind w:left="444"/>
            </w:pPr>
            <w:r>
              <w:rPr>
                <w:spacing w:val="-5"/>
                <w:position w:val="4"/>
              </w:rPr>
              <w:t>1007</w:t>
            </w:r>
          </w:p>
        </w:tc>
        <w:tc>
          <w:tcPr>
            <w:tcW w:w="2738" w:type="dxa"/>
            <w:vAlign w:val="top"/>
          </w:tcPr>
          <w:p w14:paraId="5E94F819">
            <w:pPr>
              <w:pStyle w:val="5"/>
              <w:spacing w:before="4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5BADDE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6B5FCF9F">
            <w:pPr>
              <w:pStyle w:val="5"/>
              <w:spacing w:before="5" w:line="341" w:lineRule="exact"/>
              <w:ind w:left="390"/>
            </w:pPr>
            <w:r>
              <w:rPr>
                <w:position w:val="4"/>
              </w:rPr>
              <w:t>3</w:t>
            </w:r>
          </w:p>
        </w:tc>
        <w:tc>
          <w:tcPr>
            <w:tcW w:w="7917" w:type="dxa"/>
            <w:vAlign w:val="top"/>
          </w:tcPr>
          <w:p w14:paraId="3B456136">
            <w:pPr>
              <w:pStyle w:val="5"/>
              <w:spacing w:before="5" w:line="315" w:lineRule="exact"/>
              <w:ind w:left="112"/>
            </w:pPr>
            <w:r>
              <w:rPr>
                <w:spacing w:val="-1"/>
                <w:position w:val="3"/>
              </w:rPr>
              <w:t>基于 ddPCR 与靶向测序的徐州市污水肠道病毒监测预警技术研究</w:t>
            </w:r>
          </w:p>
        </w:tc>
        <w:tc>
          <w:tcPr>
            <w:tcW w:w="1319" w:type="dxa"/>
            <w:vAlign w:val="top"/>
          </w:tcPr>
          <w:p w14:paraId="6BCF2E90">
            <w:pPr>
              <w:pStyle w:val="5"/>
              <w:spacing w:before="5" w:line="318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48A6EF8C">
            <w:pPr>
              <w:pStyle w:val="5"/>
              <w:spacing w:before="5" w:line="341" w:lineRule="exact"/>
              <w:ind w:left="444"/>
            </w:pPr>
            <w:r>
              <w:rPr>
                <w:spacing w:val="-5"/>
                <w:position w:val="4"/>
              </w:rPr>
              <w:t>1005</w:t>
            </w:r>
          </w:p>
        </w:tc>
        <w:tc>
          <w:tcPr>
            <w:tcW w:w="2738" w:type="dxa"/>
            <w:vAlign w:val="top"/>
          </w:tcPr>
          <w:p w14:paraId="20F3A386">
            <w:pPr>
              <w:pStyle w:val="5"/>
              <w:spacing w:before="5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2FBEF4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183BC277">
            <w:pPr>
              <w:pStyle w:val="5"/>
              <w:spacing w:before="5" w:line="343" w:lineRule="exact"/>
              <w:ind w:left="386"/>
            </w:pPr>
            <w:r>
              <w:rPr>
                <w:position w:val="4"/>
              </w:rPr>
              <w:t>4</w:t>
            </w:r>
          </w:p>
        </w:tc>
        <w:tc>
          <w:tcPr>
            <w:tcW w:w="7917" w:type="dxa"/>
            <w:vAlign w:val="top"/>
          </w:tcPr>
          <w:p w14:paraId="00389C8A">
            <w:pPr>
              <w:pStyle w:val="5"/>
              <w:spacing w:before="5" w:line="315" w:lineRule="exact"/>
              <w:ind w:left="111"/>
            </w:pPr>
            <w:r>
              <w:rPr>
                <w:position w:val="3"/>
              </w:rPr>
              <w:t>徐州市三类医疗水致病菌耐药与消毒剂抗性关联及传播风险的</w:t>
            </w:r>
            <w:r>
              <w:rPr>
                <w:spacing w:val="-1"/>
                <w:position w:val="3"/>
              </w:rPr>
              <w:t>基因组学研究</w:t>
            </w:r>
          </w:p>
        </w:tc>
        <w:tc>
          <w:tcPr>
            <w:tcW w:w="1319" w:type="dxa"/>
            <w:vAlign w:val="top"/>
          </w:tcPr>
          <w:p w14:paraId="4A9E9319">
            <w:pPr>
              <w:pStyle w:val="5"/>
              <w:spacing w:before="5" w:line="318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48D9A750">
            <w:pPr>
              <w:pStyle w:val="5"/>
              <w:spacing w:before="5" w:line="341" w:lineRule="exact"/>
              <w:ind w:left="438"/>
            </w:pPr>
            <w:r>
              <w:rPr>
                <w:spacing w:val="-4"/>
                <w:position w:val="4"/>
              </w:rPr>
              <w:t>8006</w:t>
            </w:r>
          </w:p>
        </w:tc>
        <w:tc>
          <w:tcPr>
            <w:tcW w:w="2738" w:type="dxa"/>
            <w:vAlign w:val="top"/>
          </w:tcPr>
          <w:p w14:paraId="2BF7B0AC">
            <w:pPr>
              <w:pStyle w:val="5"/>
              <w:spacing w:before="5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649815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5E2451E0">
            <w:pPr>
              <w:pStyle w:val="5"/>
              <w:spacing w:before="5" w:line="341" w:lineRule="exact"/>
              <w:ind w:left="393"/>
            </w:pPr>
            <w:r>
              <w:rPr>
                <w:position w:val="4"/>
              </w:rPr>
              <w:t>5</w:t>
            </w:r>
          </w:p>
        </w:tc>
        <w:tc>
          <w:tcPr>
            <w:tcW w:w="7917" w:type="dxa"/>
            <w:vAlign w:val="top"/>
          </w:tcPr>
          <w:p w14:paraId="73405FB9">
            <w:pPr>
              <w:pStyle w:val="5"/>
              <w:spacing w:before="5" w:line="315" w:lineRule="exact"/>
              <w:ind w:left="111"/>
            </w:pPr>
            <w:r>
              <w:rPr>
                <w:position w:val="3"/>
              </w:rPr>
              <w:t>徐州市校园学生餐食源性致病菌污染风险评估及风险</w:t>
            </w:r>
            <w:r>
              <w:rPr>
                <w:spacing w:val="-1"/>
                <w:position w:val="3"/>
              </w:rPr>
              <w:t>防控策略研究</w:t>
            </w:r>
          </w:p>
        </w:tc>
        <w:tc>
          <w:tcPr>
            <w:tcW w:w="1319" w:type="dxa"/>
            <w:vAlign w:val="top"/>
          </w:tcPr>
          <w:p w14:paraId="03F5153A">
            <w:pPr>
              <w:pStyle w:val="5"/>
              <w:spacing w:before="5" w:line="318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6358CCD3">
            <w:pPr>
              <w:pStyle w:val="5"/>
              <w:spacing w:before="5" w:line="341" w:lineRule="exact"/>
              <w:ind w:left="432"/>
            </w:pPr>
            <w:r>
              <w:rPr>
                <w:spacing w:val="-2"/>
                <w:position w:val="4"/>
              </w:rPr>
              <w:t>4005</w:t>
            </w:r>
          </w:p>
        </w:tc>
        <w:tc>
          <w:tcPr>
            <w:tcW w:w="2738" w:type="dxa"/>
            <w:vAlign w:val="top"/>
          </w:tcPr>
          <w:p w14:paraId="609984EF">
            <w:pPr>
              <w:pStyle w:val="5"/>
              <w:spacing w:before="5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0BBE52E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7C188D2F">
            <w:pPr>
              <w:pStyle w:val="5"/>
              <w:spacing w:before="5" w:line="341" w:lineRule="exact"/>
              <w:ind w:left="393"/>
            </w:pPr>
            <w:r>
              <w:rPr>
                <w:position w:val="4"/>
              </w:rPr>
              <w:t>6</w:t>
            </w:r>
          </w:p>
        </w:tc>
        <w:tc>
          <w:tcPr>
            <w:tcW w:w="7917" w:type="dxa"/>
            <w:vAlign w:val="top"/>
          </w:tcPr>
          <w:p w14:paraId="77DE1768">
            <w:pPr>
              <w:pStyle w:val="5"/>
              <w:spacing w:before="5" w:line="315" w:lineRule="exact"/>
              <w:ind w:left="112"/>
            </w:pPr>
            <w:r>
              <w:rPr>
                <w:position w:val="3"/>
              </w:rPr>
              <w:t>基于真实世界数据的徐州市癌症患者多维疾病</w:t>
            </w:r>
            <w:r>
              <w:rPr>
                <w:spacing w:val="-1"/>
                <w:position w:val="3"/>
              </w:rPr>
              <w:t>负担系统评价研究</w:t>
            </w:r>
          </w:p>
        </w:tc>
        <w:tc>
          <w:tcPr>
            <w:tcW w:w="1319" w:type="dxa"/>
            <w:vAlign w:val="top"/>
          </w:tcPr>
          <w:p w14:paraId="3030DD95">
            <w:pPr>
              <w:pStyle w:val="5"/>
              <w:spacing w:before="5" w:line="318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6439F580">
            <w:pPr>
              <w:pStyle w:val="5"/>
              <w:spacing w:before="5" w:line="341" w:lineRule="exact"/>
              <w:ind w:left="437"/>
            </w:pPr>
            <w:r>
              <w:rPr>
                <w:spacing w:val="-3"/>
                <w:position w:val="4"/>
              </w:rPr>
              <w:t>3001</w:t>
            </w:r>
          </w:p>
        </w:tc>
        <w:tc>
          <w:tcPr>
            <w:tcW w:w="2738" w:type="dxa"/>
            <w:vAlign w:val="top"/>
          </w:tcPr>
          <w:p w14:paraId="7D72FB01">
            <w:pPr>
              <w:pStyle w:val="5"/>
              <w:spacing w:before="5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782B2A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884" w:type="dxa"/>
            <w:vAlign w:val="top"/>
          </w:tcPr>
          <w:p w14:paraId="60EFC5F8">
            <w:pPr>
              <w:pStyle w:val="5"/>
              <w:spacing w:before="151" w:line="344" w:lineRule="exact"/>
              <w:ind w:left="392"/>
            </w:pPr>
            <w:r>
              <w:rPr>
                <w:position w:val="4"/>
              </w:rPr>
              <w:t>7</w:t>
            </w:r>
          </w:p>
        </w:tc>
        <w:tc>
          <w:tcPr>
            <w:tcW w:w="7917" w:type="dxa"/>
            <w:vAlign w:val="top"/>
          </w:tcPr>
          <w:p w14:paraId="552FB769">
            <w:pPr>
              <w:pStyle w:val="5"/>
              <w:spacing w:before="151" w:line="318" w:lineRule="exact"/>
              <w:ind w:left="116"/>
            </w:pPr>
            <w:r>
              <w:rPr>
                <w:spacing w:val="-1"/>
                <w:position w:val="2"/>
              </w:rPr>
              <w:t>新发重大传染病趋势预测模型</w:t>
            </w:r>
          </w:p>
        </w:tc>
        <w:tc>
          <w:tcPr>
            <w:tcW w:w="1319" w:type="dxa"/>
            <w:vAlign w:val="top"/>
          </w:tcPr>
          <w:p w14:paraId="793E676E">
            <w:pPr>
              <w:pStyle w:val="5"/>
              <w:spacing w:before="151" w:line="318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04787EF4">
            <w:pPr>
              <w:pStyle w:val="5"/>
              <w:spacing w:before="151" w:line="341" w:lineRule="exact"/>
              <w:ind w:left="439"/>
            </w:pPr>
            <w:r>
              <w:rPr>
                <w:spacing w:val="-4"/>
                <w:position w:val="4"/>
              </w:rPr>
              <w:t>7008</w:t>
            </w:r>
          </w:p>
        </w:tc>
        <w:tc>
          <w:tcPr>
            <w:tcW w:w="2738" w:type="dxa"/>
            <w:vAlign w:val="top"/>
          </w:tcPr>
          <w:p w14:paraId="326467B0">
            <w:pPr>
              <w:pStyle w:val="5"/>
              <w:spacing w:before="39" w:line="244" w:lineRule="auto"/>
              <w:ind w:left="128" w:right="202" w:hanging="13"/>
            </w:pPr>
            <w:r>
              <w:rPr>
                <w:spacing w:val="-1"/>
              </w:rPr>
              <w:t>徐州医科大学公共卫生学</w:t>
            </w:r>
            <w:r>
              <w:t>院</w:t>
            </w:r>
          </w:p>
        </w:tc>
      </w:tr>
      <w:tr w14:paraId="094240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59B986AF">
            <w:pPr>
              <w:pStyle w:val="5"/>
              <w:spacing w:before="5" w:line="342" w:lineRule="exact"/>
              <w:ind w:left="392"/>
            </w:pPr>
            <w:r>
              <w:rPr>
                <w:position w:val="4"/>
              </w:rPr>
              <w:t>8</w:t>
            </w:r>
          </w:p>
        </w:tc>
        <w:tc>
          <w:tcPr>
            <w:tcW w:w="7917" w:type="dxa"/>
            <w:vAlign w:val="top"/>
          </w:tcPr>
          <w:p w14:paraId="1EACD92D">
            <w:pPr>
              <w:pStyle w:val="5"/>
              <w:spacing w:before="39" w:line="211" w:lineRule="auto"/>
              <w:ind w:left="112"/>
            </w:pPr>
            <w:r>
              <w:t>基于县域医共体的苏北地区中老年人骨质疏松高危筛查与分层干</w:t>
            </w:r>
            <w:r>
              <w:rPr>
                <w:spacing w:val="-1"/>
              </w:rPr>
              <w:t>预模式构建研究</w:t>
            </w:r>
          </w:p>
        </w:tc>
        <w:tc>
          <w:tcPr>
            <w:tcW w:w="1319" w:type="dxa"/>
            <w:vAlign w:val="top"/>
          </w:tcPr>
          <w:p w14:paraId="087EB5D8">
            <w:pPr>
              <w:pStyle w:val="5"/>
              <w:spacing w:before="5" w:line="318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79E3764C">
            <w:pPr>
              <w:pStyle w:val="5"/>
              <w:spacing w:before="5" w:line="342" w:lineRule="exact"/>
              <w:ind w:left="437"/>
            </w:pPr>
            <w:r>
              <w:rPr>
                <w:spacing w:val="-3"/>
                <w:position w:val="4"/>
              </w:rPr>
              <w:t>3001</w:t>
            </w:r>
          </w:p>
        </w:tc>
        <w:tc>
          <w:tcPr>
            <w:tcW w:w="2738" w:type="dxa"/>
            <w:vAlign w:val="top"/>
          </w:tcPr>
          <w:p w14:paraId="6B91A599">
            <w:pPr>
              <w:pStyle w:val="5"/>
              <w:spacing w:before="39" w:line="211" w:lineRule="auto"/>
              <w:ind w:left="118"/>
            </w:pPr>
            <w:r>
              <w:rPr>
                <w:spacing w:val="-2"/>
              </w:rPr>
              <w:t>邳州市人民医院</w:t>
            </w:r>
          </w:p>
        </w:tc>
      </w:tr>
      <w:tr w14:paraId="040376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884" w:type="dxa"/>
            <w:vAlign w:val="top"/>
          </w:tcPr>
          <w:p w14:paraId="68DD52D6">
            <w:pPr>
              <w:pStyle w:val="5"/>
              <w:spacing w:before="152" w:line="341" w:lineRule="exact"/>
              <w:ind w:left="392"/>
            </w:pPr>
            <w:r>
              <w:rPr>
                <w:position w:val="4"/>
              </w:rPr>
              <w:t>9</w:t>
            </w:r>
          </w:p>
        </w:tc>
        <w:tc>
          <w:tcPr>
            <w:tcW w:w="7917" w:type="dxa"/>
            <w:vAlign w:val="top"/>
          </w:tcPr>
          <w:p w14:paraId="0B2A61B5">
            <w:pPr>
              <w:pStyle w:val="5"/>
              <w:spacing w:before="6" w:line="250" w:lineRule="auto"/>
              <w:ind w:left="117" w:right="172" w:hanging="5"/>
            </w:pPr>
            <w:r>
              <w:rPr>
                <w:spacing w:val="-2"/>
              </w:rPr>
              <w:t>基于“</w:t>
            </w:r>
            <w:r>
              <w:rPr>
                <w:spacing w:val="-46"/>
              </w:rPr>
              <w:t xml:space="preserve"> </w:t>
            </w:r>
            <w:r>
              <w:rPr>
                <w:spacing w:val="-2"/>
              </w:rPr>
              <w:t>五健”行动的幼儿园户外活动自然干预对远视</w:t>
            </w:r>
            <w:r>
              <w:rPr>
                <w:spacing w:val="-3"/>
              </w:rPr>
              <w:t>储备</w:t>
            </w:r>
            <w:r>
              <w:rPr>
                <w:spacing w:val="-30"/>
              </w:rPr>
              <w:t xml:space="preserve"> </w:t>
            </w:r>
            <w:r>
              <w:rPr>
                <w:spacing w:val="-3"/>
              </w:rPr>
              <w:t>、肥胖</w:t>
            </w:r>
            <w:r>
              <w:rPr>
                <w:spacing w:val="-31"/>
              </w:rPr>
              <w:t xml:space="preserve"> </w:t>
            </w:r>
            <w:r>
              <w:rPr>
                <w:spacing w:val="-3"/>
              </w:rPr>
              <w:t>、心理问题的多病</w:t>
            </w:r>
            <w:r>
              <w:rPr>
                <w:spacing w:val="-4"/>
              </w:rPr>
              <w:t>共防研究</w:t>
            </w:r>
          </w:p>
        </w:tc>
        <w:tc>
          <w:tcPr>
            <w:tcW w:w="1319" w:type="dxa"/>
            <w:vAlign w:val="top"/>
          </w:tcPr>
          <w:p w14:paraId="47FF27F8">
            <w:pPr>
              <w:pStyle w:val="5"/>
              <w:spacing w:before="152" w:line="318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66826EEB">
            <w:pPr>
              <w:pStyle w:val="5"/>
              <w:spacing w:before="152" w:line="341" w:lineRule="exact"/>
              <w:ind w:left="432"/>
            </w:pPr>
            <w:r>
              <w:rPr>
                <w:spacing w:val="-2"/>
                <w:position w:val="4"/>
              </w:rPr>
              <w:t>4004</w:t>
            </w:r>
          </w:p>
        </w:tc>
        <w:tc>
          <w:tcPr>
            <w:tcW w:w="2738" w:type="dxa"/>
            <w:vAlign w:val="top"/>
          </w:tcPr>
          <w:p w14:paraId="0BE39CEC">
            <w:pPr>
              <w:pStyle w:val="5"/>
              <w:spacing w:before="186" w:line="211" w:lineRule="auto"/>
              <w:ind w:left="115"/>
            </w:pPr>
            <w:r>
              <w:rPr>
                <w:spacing w:val="-1"/>
              </w:rPr>
              <w:t>徐州市妇幼保健院</w:t>
            </w:r>
          </w:p>
        </w:tc>
      </w:tr>
      <w:tr w14:paraId="688752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3" w:hRule="atLeast"/>
        </w:trPr>
        <w:tc>
          <w:tcPr>
            <w:tcW w:w="884" w:type="dxa"/>
            <w:vAlign w:val="top"/>
          </w:tcPr>
          <w:p w14:paraId="5555AF12">
            <w:pPr>
              <w:pStyle w:val="5"/>
              <w:spacing w:before="155" w:line="341" w:lineRule="exact"/>
              <w:ind w:left="340"/>
            </w:pPr>
            <w:r>
              <w:rPr>
                <w:spacing w:val="-9"/>
                <w:position w:val="4"/>
              </w:rPr>
              <w:t>10</w:t>
            </w:r>
          </w:p>
        </w:tc>
        <w:tc>
          <w:tcPr>
            <w:tcW w:w="7917" w:type="dxa"/>
            <w:vAlign w:val="top"/>
          </w:tcPr>
          <w:p w14:paraId="2D75C6DE">
            <w:pPr>
              <w:pStyle w:val="5"/>
              <w:spacing w:before="7" w:line="253" w:lineRule="auto"/>
              <w:ind w:left="115" w:right="105" w:hanging="1"/>
            </w:pPr>
            <w:r>
              <w:t>预防急性肾损伤后高危人群进展至慢性肾脏病的早期识别与</w:t>
            </w:r>
            <w:r>
              <w:rPr>
                <w:spacing w:val="-1"/>
              </w:rPr>
              <w:t>分层随访管理策略构</w:t>
            </w:r>
            <w:r>
              <w:t>建</w:t>
            </w:r>
          </w:p>
        </w:tc>
        <w:tc>
          <w:tcPr>
            <w:tcW w:w="1319" w:type="dxa"/>
            <w:vAlign w:val="top"/>
          </w:tcPr>
          <w:p w14:paraId="711664B7">
            <w:pPr>
              <w:pStyle w:val="5"/>
              <w:spacing w:before="155" w:line="318" w:lineRule="exact"/>
              <w:ind w:left="227"/>
            </w:pPr>
            <w:r>
              <w:rPr>
                <w:spacing w:val="-3"/>
                <w:position w:val="2"/>
              </w:rPr>
              <w:t>培育项目</w:t>
            </w:r>
          </w:p>
        </w:tc>
        <w:tc>
          <w:tcPr>
            <w:tcW w:w="1320" w:type="dxa"/>
            <w:vAlign w:val="top"/>
          </w:tcPr>
          <w:p w14:paraId="2AE57D1E">
            <w:pPr>
              <w:pStyle w:val="5"/>
              <w:spacing w:before="155" w:line="341" w:lineRule="exact"/>
              <w:ind w:left="439"/>
            </w:pPr>
            <w:r>
              <w:rPr>
                <w:spacing w:val="-4"/>
                <w:position w:val="4"/>
              </w:rPr>
              <w:t>7007</w:t>
            </w:r>
          </w:p>
        </w:tc>
        <w:tc>
          <w:tcPr>
            <w:tcW w:w="2738" w:type="dxa"/>
            <w:vAlign w:val="top"/>
          </w:tcPr>
          <w:p w14:paraId="329B7179">
            <w:pPr>
              <w:pStyle w:val="5"/>
              <w:spacing w:before="189" w:line="211" w:lineRule="auto"/>
              <w:ind w:left="115"/>
            </w:pPr>
            <w:r>
              <w:rPr>
                <w:spacing w:val="-1"/>
              </w:rPr>
              <w:t>徐州市第一人民医院</w:t>
            </w:r>
          </w:p>
        </w:tc>
      </w:tr>
    </w:tbl>
    <w:p w14:paraId="78D7D65C">
      <w:pPr>
        <w:rPr>
          <w:rFonts w:ascii="Arial"/>
          <w:sz w:val="21"/>
        </w:rPr>
      </w:pPr>
    </w:p>
    <w:p w14:paraId="42617E0B">
      <w:pPr>
        <w:rPr>
          <w:rFonts w:ascii="Arial" w:hAnsi="Arial" w:eastAsia="Arial" w:cs="Arial"/>
          <w:sz w:val="21"/>
          <w:szCs w:val="21"/>
        </w:rPr>
        <w:sectPr>
          <w:pgSz w:w="16839" w:h="11906"/>
          <w:pgMar w:top="1012" w:right="1327" w:bottom="0" w:left="1327" w:header="0" w:footer="0" w:gutter="0"/>
          <w:cols w:space="720" w:num="1"/>
        </w:sectPr>
      </w:pPr>
    </w:p>
    <w:p w14:paraId="789362AC">
      <w:pPr>
        <w:spacing w:before="21"/>
      </w:pPr>
    </w:p>
    <w:p w14:paraId="773D1FBA">
      <w:pPr>
        <w:spacing w:before="21"/>
      </w:pPr>
    </w:p>
    <w:p w14:paraId="471E49A9">
      <w:pPr>
        <w:spacing w:before="21"/>
      </w:pPr>
    </w:p>
    <w:tbl>
      <w:tblPr>
        <w:tblStyle w:val="4"/>
        <w:tblW w:w="14178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4"/>
        <w:gridCol w:w="7917"/>
        <w:gridCol w:w="1319"/>
        <w:gridCol w:w="1320"/>
        <w:gridCol w:w="2738"/>
      </w:tblGrid>
      <w:tr w14:paraId="1B6273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884" w:type="dxa"/>
            <w:vAlign w:val="top"/>
          </w:tcPr>
          <w:p w14:paraId="5A70E4BD">
            <w:pPr>
              <w:pStyle w:val="5"/>
              <w:spacing w:before="38" w:line="212" w:lineRule="auto"/>
              <w:ind w:left="224"/>
            </w:pPr>
            <w:r>
              <w:rPr>
                <w:b/>
                <w:bCs/>
                <w:spacing w:val="-2"/>
              </w:rPr>
              <w:t>序号</w:t>
            </w:r>
          </w:p>
        </w:tc>
        <w:tc>
          <w:tcPr>
            <w:tcW w:w="7917" w:type="dxa"/>
            <w:vAlign w:val="top"/>
          </w:tcPr>
          <w:p w14:paraId="482430AA">
            <w:pPr>
              <w:pStyle w:val="5"/>
              <w:spacing w:before="42" w:line="209" w:lineRule="auto"/>
              <w:ind w:left="3520"/>
            </w:pPr>
            <w:r>
              <w:rPr>
                <w:b/>
                <w:bCs/>
                <w:spacing w:val="-2"/>
              </w:rPr>
              <w:t>项目名称</w:t>
            </w:r>
          </w:p>
        </w:tc>
        <w:tc>
          <w:tcPr>
            <w:tcW w:w="1319" w:type="dxa"/>
            <w:vAlign w:val="top"/>
          </w:tcPr>
          <w:p w14:paraId="48643884">
            <w:pPr>
              <w:pStyle w:val="5"/>
              <w:spacing w:before="42" w:line="209" w:lineRule="auto"/>
              <w:ind w:left="223"/>
            </w:pPr>
            <w:r>
              <w:rPr>
                <w:b/>
                <w:bCs/>
                <w:spacing w:val="-2"/>
              </w:rPr>
              <w:t>项目类型</w:t>
            </w:r>
          </w:p>
        </w:tc>
        <w:tc>
          <w:tcPr>
            <w:tcW w:w="1320" w:type="dxa"/>
            <w:vAlign w:val="top"/>
          </w:tcPr>
          <w:p w14:paraId="6C7C7812">
            <w:pPr>
              <w:pStyle w:val="5"/>
              <w:spacing w:before="41" w:line="210" w:lineRule="auto"/>
              <w:ind w:left="222"/>
            </w:pPr>
            <w:r>
              <w:rPr>
                <w:b/>
                <w:bCs/>
                <w:spacing w:val="-1"/>
              </w:rPr>
              <w:t>指南编号</w:t>
            </w:r>
          </w:p>
        </w:tc>
        <w:tc>
          <w:tcPr>
            <w:tcW w:w="2738" w:type="dxa"/>
            <w:vAlign w:val="top"/>
          </w:tcPr>
          <w:p w14:paraId="18B1718A">
            <w:pPr>
              <w:pStyle w:val="5"/>
              <w:spacing w:before="39" w:line="212" w:lineRule="auto"/>
              <w:ind w:left="955"/>
            </w:pPr>
            <w:r>
              <w:rPr>
                <w:b/>
                <w:bCs/>
                <w:spacing w:val="-7"/>
              </w:rPr>
              <w:t>申报单位</w:t>
            </w:r>
          </w:p>
        </w:tc>
      </w:tr>
      <w:tr w14:paraId="54B306C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884" w:type="dxa"/>
            <w:vAlign w:val="top"/>
          </w:tcPr>
          <w:p w14:paraId="539489E2">
            <w:pPr>
              <w:pStyle w:val="5"/>
              <w:spacing w:before="2" w:line="343" w:lineRule="exact"/>
              <w:ind w:left="340"/>
            </w:pPr>
            <w:r>
              <w:rPr>
                <w:spacing w:val="-9"/>
                <w:position w:val="4"/>
              </w:rPr>
              <w:t>11</w:t>
            </w:r>
          </w:p>
        </w:tc>
        <w:tc>
          <w:tcPr>
            <w:tcW w:w="7917" w:type="dxa"/>
            <w:vAlign w:val="top"/>
          </w:tcPr>
          <w:p w14:paraId="1AA70FB0">
            <w:pPr>
              <w:pStyle w:val="5"/>
              <w:spacing w:before="2" w:line="315" w:lineRule="exact"/>
              <w:ind w:left="111"/>
            </w:pPr>
            <w:r>
              <w:rPr>
                <w:spacing w:val="-1"/>
                <w:position w:val="3"/>
              </w:rPr>
              <w:t>徐州市气象因素对蚊密度的影响效应及滞后机制研究</w:t>
            </w:r>
          </w:p>
        </w:tc>
        <w:tc>
          <w:tcPr>
            <w:tcW w:w="1319" w:type="dxa"/>
            <w:vAlign w:val="top"/>
          </w:tcPr>
          <w:p w14:paraId="60B4B07C">
            <w:pPr>
              <w:pStyle w:val="5"/>
              <w:spacing w:before="39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3DAAF078">
            <w:pPr>
              <w:pStyle w:val="5"/>
              <w:spacing w:before="2" w:line="341" w:lineRule="exact"/>
              <w:ind w:left="439"/>
            </w:pPr>
            <w:r>
              <w:rPr>
                <w:spacing w:val="-4"/>
                <w:position w:val="4"/>
              </w:rPr>
              <w:t>2005</w:t>
            </w:r>
          </w:p>
        </w:tc>
        <w:tc>
          <w:tcPr>
            <w:tcW w:w="2738" w:type="dxa"/>
            <w:vAlign w:val="top"/>
          </w:tcPr>
          <w:p w14:paraId="1A355A3E">
            <w:pPr>
              <w:pStyle w:val="5"/>
              <w:spacing w:before="2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0243698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884" w:type="dxa"/>
            <w:vAlign w:val="top"/>
          </w:tcPr>
          <w:p w14:paraId="5BF2291D">
            <w:pPr>
              <w:pStyle w:val="5"/>
              <w:spacing w:before="151" w:line="344" w:lineRule="exact"/>
              <w:ind w:left="340"/>
            </w:pPr>
            <w:r>
              <w:rPr>
                <w:spacing w:val="-9"/>
                <w:position w:val="3"/>
              </w:rPr>
              <w:t>12</w:t>
            </w:r>
          </w:p>
        </w:tc>
        <w:tc>
          <w:tcPr>
            <w:tcW w:w="7917" w:type="dxa"/>
            <w:vAlign w:val="top"/>
          </w:tcPr>
          <w:p w14:paraId="6727E58F">
            <w:pPr>
              <w:pStyle w:val="5"/>
              <w:spacing w:before="2" w:line="253" w:lineRule="auto"/>
              <w:ind w:left="112" w:right="103"/>
            </w:pPr>
            <w:r>
              <w:rPr>
                <w:spacing w:val="-2"/>
              </w:rPr>
              <w:t>基于便携式 AI 眼底影像的社区糖尿病视网膜病变筛查可行性及“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医防协同”路径初</w:t>
            </w:r>
            <w:r>
              <w:t>探</w:t>
            </w:r>
          </w:p>
        </w:tc>
        <w:tc>
          <w:tcPr>
            <w:tcW w:w="1319" w:type="dxa"/>
            <w:vAlign w:val="top"/>
          </w:tcPr>
          <w:p w14:paraId="584998C0">
            <w:pPr>
              <w:pStyle w:val="5"/>
              <w:spacing w:before="189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70140C5D">
            <w:pPr>
              <w:pStyle w:val="5"/>
              <w:spacing w:before="151" w:line="342" w:lineRule="exact"/>
              <w:ind w:left="437"/>
            </w:pPr>
            <w:r>
              <w:rPr>
                <w:spacing w:val="-3"/>
                <w:position w:val="4"/>
              </w:rPr>
              <w:t>3001</w:t>
            </w:r>
          </w:p>
        </w:tc>
        <w:tc>
          <w:tcPr>
            <w:tcW w:w="2738" w:type="dxa"/>
            <w:vAlign w:val="top"/>
          </w:tcPr>
          <w:p w14:paraId="1FAE67DC">
            <w:pPr>
              <w:pStyle w:val="5"/>
              <w:spacing w:before="185" w:line="211" w:lineRule="auto"/>
              <w:ind w:left="115"/>
            </w:pPr>
            <w:r>
              <w:rPr>
                <w:spacing w:val="-1"/>
              </w:rPr>
              <w:t>徐州医科大学附属医院</w:t>
            </w:r>
          </w:p>
        </w:tc>
      </w:tr>
      <w:tr w14:paraId="05FF05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58838BD2">
            <w:pPr>
              <w:pStyle w:val="5"/>
              <w:spacing w:before="3" w:line="341" w:lineRule="exact"/>
              <w:ind w:left="340"/>
            </w:pPr>
            <w:r>
              <w:rPr>
                <w:spacing w:val="-9"/>
                <w:position w:val="4"/>
              </w:rPr>
              <w:t>13</w:t>
            </w:r>
          </w:p>
        </w:tc>
        <w:tc>
          <w:tcPr>
            <w:tcW w:w="7917" w:type="dxa"/>
            <w:vAlign w:val="top"/>
          </w:tcPr>
          <w:p w14:paraId="3FDED84B">
            <w:pPr>
              <w:pStyle w:val="5"/>
              <w:spacing w:before="3" w:line="315" w:lineRule="exact"/>
              <w:ind w:left="111"/>
            </w:pPr>
            <w:r>
              <w:rPr>
                <w:position w:val="3"/>
              </w:rPr>
              <w:t>徐州市富硒农产品中金属元素富集特征及营养</w:t>
            </w:r>
            <w:r>
              <w:rPr>
                <w:spacing w:val="-1"/>
                <w:position w:val="3"/>
              </w:rPr>
              <w:t>安全双重评估</w:t>
            </w:r>
          </w:p>
        </w:tc>
        <w:tc>
          <w:tcPr>
            <w:tcW w:w="1319" w:type="dxa"/>
            <w:vAlign w:val="top"/>
          </w:tcPr>
          <w:p w14:paraId="73D04FC4">
            <w:pPr>
              <w:pStyle w:val="5"/>
              <w:spacing w:before="41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06B471C4">
            <w:pPr>
              <w:pStyle w:val="5"/>
              <w:spacing w:before="3" w:line="341" w:lineRule="exact"/>
              <w:ind w:left="440"/>
            </w:pPr>
            <w:r>
              <w:rPr>
                <w:spacing w:val="-4"/>
                <w:position w:val="4"/>
              </w:rPr>
              <w:t>5003</w:t>
            </w:r>
          </w:p>
        </w:tc>
        <w:tc>
          <w:tcPr>
            <w:tcW w:w="2738" w:type="dxa"/>
            <w:vAlign w:val="top"/>
          </w:tcPr>
          <w:p w14:paraId="70A08590">
            <w:pPr>
              <w:pStyle w:val="5"/>
              <w:spacing w:before="3" w:line="317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0A46F0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1A4783F3">
            <w:pPr>
              <w:pStyle w:val="5"/>
              <w:spacing w:before="3" w:line="344" w:lineRule="exact"/>
              <w:ind w:left="340"/>
            </w:pPr>
            <w:r>
              <w:rPr>
                <w:spacing w:val="-9"/>
                <w:position w:val="4"/>
              </w:rPr>
              <w:t>14</w:t>
            </w:r>
          </w:p>
        </w:tc>
        <w:tc>
          <w:tcPr>
            <w:tcW w:w="7917" w:type="dxa"/>
            <w:vAlign w:val="top"/>
          </w:tcPr>
          <w:p w14:paraId="5078115F">
            <w:pPr>
              <w:pStyle w:val="5"/>
              <w:spacing w:before="36" w:line="212" w:lineRule="auto"/>
              <w:ind w:left="130"/>
            </w:pPr>
            <w:r>
              <w:rPr>
                <w:spacing w:val="-2"/>
              </w:rPr>
              <w:t>区域食品体系金黄色葡萄球菌耐药流行特征</w:t>
            </w:r>
            <w:r>
              <w:rPr>
                <w:spacing w:val="-26"/>
              </w:rPr>
              <w:t xml:space="preserve"> </w:t>
            </w:r>
            <w:r>
              <w:rPr>
                <w:spacing w:val="-2"/>
              </w:rPr>
              <w:t>、基因组解析与防控对策</w:t>
            </w:r>
          </w:p>
        </w:tc>
        <w:tc>
          <w:tcPr>
            <w:tcW w:w="1319" w:type="dxa"/>
            <w:vAlign w:val="top"/>
          </w:tcPr>
          <w:p w14:paraId="01FBBDB3">
            <w:pPr>
              <w:pStyle w:val="5"/>
              <w:spacing w:before="41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4BB7E8B1">
            <w:pPr>
              <w:pStyle w:val="5"/>
              <w:spacing w:before="3" w:line="341" w:lineRule="exact"/>
              <w:ind w:left="432"/>
            </w:pPr>
            <w:r>
              <w:rPr>
                <w:spacing w:val="-2"/>
                <w:position w:val="4"/>
              </w:rPr>
              <w:t>4005</w:t>
            </w:r>
          </w:p>
        </w:tc>
        <w:tc>
          <w:tcPr>
            <w:tcW w:w="2738" w:type="dxa"/>
            <w:vAlign w:val="top"/>
          </w:tcPr>
          <w:p w14:paraId="7B29611E">
            <w:pPr>
              <w:pStyle w:val="5"/>
              <w:spacing w:before="3" w:line="317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5CC0FE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884" w:type="dxa"/>
            <w:vAlign w:val="top"/>
          </w:tcPr>
          <w:p w14:paraId="77C7B7CA">
            <w:pPr>
              <w:pStyle w:val="5"/>
              <w:spacing w:before="152" w:line="341" w:lineRule="exact"/>
              <w:ind w:left="340"/>
            </w:pPr>
            <w:r>
              <w:rPr>
                <w:spacing w:val="-9"/>
                <w:position w:val="4"/>
              </w:rPr>
              <w:t>15</w:t>
            </w:r>
          </w:p>
        </w:tc>
        <w:tc>
          <w:tcPr>
            <w:tcW w:w="7917" w:type="dxa"/>
            <w:vAlign w:val="top"/>
          </w:tcPr>
          <w:p w14:paraId="6717A08C">
            <w:pPr>
              <w:pStyle w:val="5"/>
              <w:spacing w:before="4" w:line="252" w:lineRule="auto"/>
              <w:ind w:left="117" w:right="103" w:firstLine="7"/>
            </w:pPr>
            <w:r>
              <w:rPr>
                <w:spacing w:val="-3"/>
              </w:rPr>
              <w:t>LC-MS/MS 法检测徐州市雾霾天气</w:t>
            </w:r>
            <w:r>
              <w:rPr>
                <w:spacing w:val="29"/>
                <w:w w:val="101"/>
              </w:rPr>
              <w:t xml:space="preserve"> </w:t>
            </w:r>
            <w:r>
              <w:rPr>
                <w:spacing w:val="-3"/>
              </w:rPr>
              <w:t>PM2.5</w:t>
            </w:r>
            <w:r>
              <w:rPr>
                <w:spacing w:val="24"/>
              </w:rPr>
              <w:t xml:space="preserve"> </w:t>
            </w:r>
            <w:r>
              <w:rPr>
                <w:spacing w:val="-3"/>
              </w:rPr>
              <w:t>中全氟化合物：污染分布特征及人群健康风险评估</w:t>
            </w:r>
          </w:p>
        </w:tc>
        <w:tc>
          <w:tcPr>
            <w:tcW w:w="1319" w:type="dxa"/>
            <w:vAlign w:val="top"/>
          </w:tcPr>
          <w:p w14:paraId="35C76913">
            <w:pPr>
              <w:pStyle w:val="5"/>
              <w:spacing w:before="190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25AB9843">
            <w:pPr>
              <w:pStyle w:val="5"/>
              <w:spacing w:before="152" w:line="341" w:lineRule="exact"/>
              <w:ind w:left="440"/>
            </w:pPr>
            <w:r>
              <w:rPr>
                <w:spacing w:val="-4"/>
                <w:position w:val="4"/>
              </w:rPr>
              <w:t>5003</w:t>
            </w:r>
          </w:p>
        </w:tc>
        <w:tc>
          <w:tcPr>
            <w:tcW w:w="2738" w:type="dxa"/>
            <w:vAlign w:val="top"/>
          </w:tcPr>
          <w:p w14:paraId="6FECE235">
            <w:pPr>
              <w:pStyle w:val="5"/>
              <w:spacing w:before="152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0FEDCB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884" w:type="dxa"/>
            <w:vAlign w:val="top"/>
          </w:tcPr>
          <w:p w14:paraId="0FAC5DB3">
            <w:pPr>
              <w:pStyle w:val="5"/>
              <w:spacing w:before="153" w:line="341" w:lineRule="exact"/>
              <w:ind w:left="340"/>
            </w:pPr>
            <w:r>
              <w:rPr>
                <w:spacing w:val="-9"/>
                <w:position w:val="4"/>
              </w:rPr>
              <w:t>16</w:t>
            </w:r>
          </w:p>
        </w:tc>
        <w:tc>
          <w:tcPr>
            <w:tcW w:w="7917" w:type="dxa"/>
            <w:vAlign w:val="top"/>
          </w:tcPr>
          <w:p w14:paraId="7C8457CC">
            <w:pPr>
              <w:pStyle w:val="5"/>
              <w:spacing w:before="4" w:line="253" w:lineRule="auto"/>
              <w:ind w:left="111" w:right="105"/>
            </w:pPr>
            <w:r>
              <w:rPr>
                <w:spacing w:val="-1"/>
              </w:rPr>
              <w:t>徐州市老年人免费肺炎疫苗接种政策初期评估：接种现状</w:t>
            </w:r>
            <w:r>
              <w:rPr>
                <w:spacing w:val="-31"/>
              </w:rPr>
              <w:t xml:space="preserve"> </w:t>
            </w:r>
            <w:r>
              <w:rPr>
                <w:spacing w:val="-1"/>
              </w:rPr>
              <w:t>、影响因素与疾病负担</w:t>
            </w:r>
            <w:r>
              <w:rPr>
                <w:spacing w:val="-3"/>
              </w:rPr>
              <w:t>研究</w:t>
            </w:r>
          </w:p>
        </w:tc>
        <w:tc>
          <w:tcPr>
            <w:tcW w:w="1319" w:type="dxa"/>
            <w:vAlign w:val="top"/>
          </w:tcPr>
          <w:p w14:paraId="70E9DFF1">
            <w:pPr>
              <w:pStyle w:val="5"/>
              <w:spacing w:before="190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7A999A74">
            <w:pPr>
              <w:pStyle w:val="5"/>
              <w:spacing w:before="153" w:line="341" w:lineRule="exact"/>
              <w:ind w:left="439"/>
            </w:pPr>
            <w:r>
              <w:rPr>
                <w:spacing w:val="-4"/>
                <w:position w:val="4"/>
              </w:rPr>
              <w:t>7006</w:t>
            </w:r>
          </w:p>
        </w:tc>
        <w:tc>
          <w:tcPr>
            <w:tcW w:w="2738" w:type="dxa"/>
            <w:vAlign w:val="top"/>
          </w:tcPr>
          <w:p w14:paraId="631CE2ED">
            <w:pPr>
              <w:pStyle w:val="5"/>
              <w:spacing w:before="153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05BCEA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4B978637">
            <w:pPr>
              <w:pStyle w:val="5"/>
              <w:spacing w:before="7" w:line="343" w:lineRule="exact"/>
              <w:ind w:left="340"/>
            </w:pPr>
            <w:r>
              <w:rPr>
                <w:spacing w:val="-9"/>
                <w:position w:val="4"/>
              </w:rPr>
              <w:t>17</w:t>
            </w:r>
          </w:p>
        </w:tc>
        <w:tc>
          <w:tcPr>
            <w:tcW w:w="7917" w:type="dxa"/>
            <w:vAlign w:val="top"/>
          </w:tcPr>
          <w:p w14:paraId="2EDBEE9D">
            <w:pPr>
              <w:pStyle w:val="5"/>
              <w:spacing w:before="7" w:line="315" w:lineRule="exact"/>
              <w:ind w:left="111"/>
            </w:pPr>
            <w:r>
              <w:rPr>
                <w:spacing w:val="-1"/>
                <w:position w:val="3"/>
              </w:rPr>
              <w:t>徐州市呼吸道合胞病毒分子流行病学研究</w:t>
            </w:r>
          </w:p>
        </w:tc>
        <w:tc>
          <w:tcPr>
            <w:tcW w:w="1319" w:type="dxa"/>
            <w:vAlign w:val="top"/>
          </w:tcPr>
          <w:p w14:paraId="65AAAF86">
            <w:pPr>
              <w:pStyle w:val="5"/>
              <w:spacing w:before="45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1ECE7B52">
            <w:pPr>
              <w:pStyle w:val="5"/>
              <w:spacing w:before="7" w:line="341" w:lineRule="exact"/>
              <w:ind w:left="444"/>
            </w:pPr>
            <w:r>
              <w:rPr>
                <w:spacing w:val="-5"/>
                <w:position w:val="4"/>
              </w:rPr>
              <w:t>1004</w:t>
            </w:r>
          </w:p>
        </w:tc>
        <w:tc>
          <w:tcPr>
            <w:tcW w:w="2738" w:type="dxa"/>
            <w:vAlign w:val="top"/>
          </w:tcPr>
          <w:p w14:paraId="06A8BE4B">
            <w:pPr>
              <w:pStyle w:val="5"/>
              <w:spacing w:before="7" w:line="316" w:lineRule="exact"/>
              <w:ind w:left="115"/>
            </w:pPr>
            <w:r>
              <w:rPr>
                <w:spacing w:val="-1"/>
                <w:position w:val="3"/>
              </w:rPr>
              <w:t>徐州市疾病预防控制中心</w:t>
            </w:r>
          </w:p>
        </w:tc>
      </w:tr>
      <w:tr w14:paraId="361EF5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5EFF2975">
            <w:pPr>
              <w:pStyle w:val="5"/>
              <w:spacing w:before="7" w:line="341" w:lineRule="exact"/>
              <w:ind w:left="340"/>
            </w:pPr>
            <w:r>
              <w:rPr>
                <w:spacing w:val="-9"/>
                <w:position w:val="4"/>
              </w:rPr>
              <w:t>18</w:t>
            </w:r>
          </w:p>
        </w:tc>
        <w:tc>
          <w:tcPr>
            <w:tcW w:w="7917" w:type="dxa"/>
            <w:vAlign w:val="top"/>
          </w:tcPr>
          <w:p w14:paraId="0072E753">
            <w:pPr>
              <w:pStyle w:val="5"/>
              <w:spacing w:before="7" w:line="316" w:lineRule="exact"/>
              <w:ind w:left="112"/>
            </w:pPr>
            <w:r>
              <w:rPr>
                <w:position w:val="2"/>
              </w:rPr>
              <w:t>双产酶肺炎克雷伯菌的动态演替与多维耐药策略：从分</w:t>
            </w:r>
            <w:r>
              <w:rPr>
                <w:spacing w:val="-1"/>
                <w:position w:val="2"/>
              </w:rPr>
              <w:t>子传播到精准防治</w:t>
            </w:r>
          </w:p>
        </w:tc>
        <w:tc>
          <w:tcPr>
            <w:tcW w:w="1319" w:type="dxa"/>
            <w:vAlign w:val="top"/>
          </w:tcPr>
          <w:p w14:paraId="47EE3E00">
            <w:pPr>
              <w:pStyle w:val="5"/>
              <w:spacing w:before="45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49986A3F">
            <w:pPr>
              <w:pStyle w:val="5"/>
              <w:spacing w:before="7" w:line="341" w:lineRule="exact"/>
              <w:ind w:left="438"/>
            </w:pPr>
            <w:r>
              <w:rPr>
                <w:spacing w:val="-4"/>
                <w:position w:val="4"/>
              </w:rPr>
              <w:t>8007</w:t>
            </w:r>
          </w:p>
        </w:tc>
        <w:tc>
          <w:tcPr>
            <w:tcW w:w="2738" w:type="dxa"/>
            <w:vAlign w:val="top"/>
          </w:tcPr>
          <w:p w14:paraId="193AFA8F">
            <w:pPr>
              <w:pStyle w:val="5"/>
              <w:spacing w:before="41" w:line="211" w:lineRule="auto"/>
              <w:ind w:left="115"/>
            </w:pPr>
            <w:r>
              <w:rPr>
                <w:spacing w:val="-1"/>
              </w:rPr>
              <w:t>徐州医科大学附属医院</w:t>
            </w:r>
          </w:p>
        </w:tc>
      </w:tr>
      <w:tr w14:paraId="0597106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</w:trPr>
        <w:tc>
          <w:tcPr>
            <w:tcW w:w="884" w:type="dxa"/>
            <w:vAlign w:val="top"/>
          </w:tcPr>
          <w:p w14:paraId="39DE195F">
            <w:pPr>
              <w:pStyle w:val="5"/>
              <w:spacing w:before="7" w:line="341" w:lineRule="exact"/>
              <w:ind w:left="340"/>
            </w:pPr>
            <w:r>
              <w:rPr>
                <w:spacing w:val="-9"/>
                <w:position w:val="4"/>
              </w:rPr>
              <w:t>19</w:t>
            </w:r>
          </w:p>
        </w:tc>
        <w:tc>
          <w:tcPr>
            <w:tcW w:w="7917" w:type="dxa"/>
            <w:vAlign w:val="top"/>
          </w:tcPr>
          <w:p w14:paraId="31A84EB5">
            <w:pPr>
              <w:pStyle w:val="5"/>
              <w:spacing w:before="7" w:line="315" w:lineRule="exact"/>
              <w:ind w:left="112"/>
            </w:pPr>
            <w:r>
              <w:rPr>
                <w:position w:val="3"/>
              </w:rPr>
              <w:t>基于健康信念模型的徐州市主城区学龄儿童龋病分层防控模</w:t>
            </w:r>
            <w:r>
              <w:rPr>
                <w:spacing w:val="-1"/>
                <w:position w:val="3"/>
              </w:rPr>
              <w:t>式构建及应用研究</w:t>
            </w:r>
          </w:p>
        </w:tc>
        <w:tc>
          <w:tcPr>
            <w:tcW w:w="1319" w:type="dxa"/>
            <w:vAlign w:val="top"/>
          </w:tcPr>
          <w:p w14:paraId="5375A7CE">
            <w:pPr>
              <w:pStyle w:val="5"/>
              <w:spacing w:before="45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6F24A7BB">
            <w:pPr>
              <w:pStyle w:val="5"/>
              <w:spacing w:before="7" w:line="341" w:lineRule="exact"/>
              <w:ind w:left="437"/>
            </w:pPr>
            <w:r>
              <w:rPr>
                <w:spacing w:val="-3"/>
                <w:position w:val="4"/>
              </w:rPr>
              <w:t>3003</w:t>
            </w:r>
          </w:p>
        </w:tc>
        <w:tc>
          <w:tcPr>
            <w:tcW w:w="2738" w:type="dxa"/>
            <w:vAlign w:val="top"/>
          </w:tcPr>
          <w:p w14:paraId="4DDA1CB9">
            <w:pPr>
              <w:pStyle w:val="5"/>
              <w:spacing w:before="41" w:line="211" w:lineRule="auto"/>
              <w:ind w:left="115"/>
            </w:pPr>
            <w:r>
              <w:rPr>
                <w:spacing w:val="-1"/>
              </w:rPr>
              <w:t>徐州市口腔医院</w:t>
            </w:r>
          </w:p>
        </w:tc>
      </w:tr>
      <w:tr w14:paraId="4CCDCD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" w:hRule="atLeast"/>
        </w:trPr>
        <w:tc>
          <w:tcPr>
            <w:tcW w:w="884" w:type="dxa"/>
            <w:vAlign w:val="top"/>
          </w:tcPr>
          <w:p w14:paraId="143112C4">
            <w:pPr>
              <w:pStyle w:val="5"/>
              <w:spacing w:before="7" w:line="341" w:lineRule="exact"/>
              <w:ind w:left="335"/>
            </w:pPr>
            <w:r>
              <w:rPr>
                <w:spacing w:val="-6"/>
                <w:position w:val="4"/>
              </w:rPr>
              <w:t>20</w:t>
            </w:r>
          </w:p>
        </w:tc>
        <w:tc>
          <w:tcPr>
            <w:tcW w:w="7917" w:type="dxa"/>
            <w:vAlign w:val="top"/>
          </w:tcPr>
          <w:p w14:paraId="595A00AC">
            <w:pPr>
              <w:pStyle w:val="5"/>
              <w:spacing w:before="7" w:line="315" w:lineRule="exact"/>
              <w:ind w:left="112"/>
            </w:pPr>
            <w:r>
              <w:rPr>
                <w:spacing w:val="-1"/>
                <w:position w:val="3"/>
              </w:rPr>
              <w:t>基于蛋白组学探讨 FPR2-铁死亡轴靶向干预 COPD 炎症的机制研究及应对策略</w:t>
            </w:r>
          </w:p>
        </w:tc>
        <w:tc>
          <w:tcPr>
            <w:tcW w:w="1319" w:type="dxa"/>
            <w:vAlign w:val="top"/>
          </w:tcPr>
          <w:p w14:paraId="7398B0AF">
            <w:pPr>
              <w:pStyle w:val="5"/>
              <w:spacing w:before="45" w:line="208" w:lineRule="auto"/>
              <w:ind w:left="225"/>
            </w:pPr>
            <w:r>
              <w:rPr>
                <w:spacing w:val="-2"/>
              </w:rPr>
              <w:t>指导项目</w:t>
            </w:r>
          </w:p>
        </w:tc>
        <w:tc>
          <w:tcPr>
            <w:tcW w:w="1320" w:type="dxa"/>
            <w:vAlign w:val="top"/>
          </w:tcPr>
          <w:p w14:paraId="6D01A83A">
            <w:pPr>
              <w:pStyle w:val="5"/>
              <w:spacing w:before="7" w:line="341" w:lineRule="exact"/>
              <w:ind w:left="437"/>
            </w:pPr>
            <w:r>
              <w:rPr>
                <w:spacing w:val="-3"/>
                <w:position w:val="4"/>
              </w:rPr>
              <w:t>3001</w:t>
            </w:r>
          </w:p>
        </w:tc>
        <w:tc>
          <w:tcPr>
            <w:tcW w:w="2738" w:type="dxa"/>
            <w:vAlign w:val="top"/>
          </w:tcPr>
          <w:p w14:paraId="07F1BE52">
            <w:pPr>
              <w:pStyle w:val="5"/>
              <w:spacing w:before="41" w:line="211" w:lineRule="auto"/>
              <w:ind w:left="115"/>
            </w:pPr>
            <w:r>
              <w:rPr>
                <w:spacing w:val="-1"/>
              </w:rPr>
              <w:t>徐州市中心医院</w:t>
            </w:r>
          </w:p>
        </w:tc>
      </w:tr>
    </w:tbl>
    <w:p w14:paraId="64DD8F77">
      <w:pPr>
        <w:rPr>
          <w:rFonts w:ascii="Arial"/>
          <w:sz w:val="21"/>
        </w:rPr>
      </w:pPr>
    </w:p>
    <w:sectPr>
      <w:pgSz w:w="16839" w:h="11906"/>
      <w:pgMar w:top="1012" w:right="1327" w:bottom="0" w:left="132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1991CF6"/>
    <w:rsid w:val="6CAD321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等线" w:hAnsi="等线" w:eastAsia="等线" w:cs="等线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983</Words>
  <Characters>1080</Characters>
  <TotalTime>0</TotalTime>
  <ScaleCrop>false</ScaleCrop>
  <LinksUpToDate>false</LinksUpToDate>
  <CharactersWithSpaces>1099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2026-07-10T15:28:00Z</dcterms:created>
  <dc:creator>清越 张</dc:creator>
  <cp:lastModifiedBy>sky</cp:lastModifiedBy>
  <dcterms:modified xsi:type="dcterms:W3CDTF">2026-07-10T07:46:00Z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2026-07-10T15:43:25Z</vt:filetime>
  </property>
  <property fmtid="{D5CDD505-2E9C-101B-9397-08002B2CF9AE}" pid="4" name="KSOProductBuildVer">
    <vt:lpwstr>2052-12.1.0.26895</vt:lpwstr>
  </property>
  <property fmtid="{D5CDD505-2E9C-101B-9397-08002B2CF9AE}" pid="5" name="ICV">
    <vt:lpwstr>A8F92FFE92F54BA696BCF4C7C518A07D_13</vt:lpwstr>
  </property>
</Properties>
</file>